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Times New Roman"/>
          <w:color w:val="808080"/>
          <w:sz w:val="16"/>
          <w:szCs w:val="18"/>
        </w:rPr>
      </w:pPr>
    </w:p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Times New Roman"/>
          <w:color w:val="808080"/>
          <w:sz w:val="16"/>
          <w:szCs w:val="18"/>
        </w:rPr>
      </w:pPr>
      <w:r>
        <w:rPr>
          <w:rFonts w:ascii="Arial" w:eastAsia="Times New Roman" w:hAnsi="Arial" w:cs="Times New Roman"/>
          <w:color w:val="808080"/>
          <w:sz w:val="16"/>
          <w:szCs w:val="18"/>
          <w:lang w:val="it"/>
        </w:rPr>
        <w:t xml:space="preserve"> </w:t>
      </w:r>
    </w:p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21"/>
          <w:szCs w:val="24"/>
        </w:rPr>
      </w:pPr>
    </w:p>
    <w:p w:rsidR="00DB79E7" w:rsidRPr="00DB79E7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15"/>
          <w:szCs w:val="24"/>
        </w:rPr>
      </w:pPr>
    </w:p>
    <w:p w:rsidR="00DB79E7" w:rsidRPr="00DB79E7" w:rsidRDefault="0009448F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DC5"/>
          <w:sz w:val="40"/>
          <w:szCs w:val="24"/>
        </w:rPr>
      </w:pPr>
      <w:r>
        <w:rPr>
          <w:rFonts w:ascii="Arial" w:hAnsi="Arial" w:cs="Arial"/>
          <w:b/>
          <w:bCs/>
          <w:noProof/>
          <w:color w:val="007DC5"/>
          <w:sz w:val="36"/>
          <w:lang w:eastAsia="de-DE"/>
        </w:rPr>
        <w:drawing>
          <wp:inline distT="0" distB="0" distL="0" distR="0" wp14:anchorId="2137DDA7" wp14:editId="773F058A">
            <wp:extent cx="1866944" cy="1335060"/>
            <wp:effectExtent l="0" t="0" r="0" b="11430"/>
            <wp:docPr id="4" name="Picture 4" descr="/Volumes/Docs/Publicity /Active/Press Kits for Web Upload/2018/Bentley/Topcon_Press-kit_HiPer VR/HiPer_VR_Topcon_studio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Volumes/Docs/Publicity /Active/Press Kits for Web Upload/2018/Bentley/Topcon_Press-kit_HiPer VR/HiPer_VR_Topcon_studio cop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129" cy="1348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9E7" w:rsidRPr="001D3C1B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13"/>
          <w:szCs w:val="24"/>
          <w:lang w:val="it-IT"/>
        </w:rPr>
      </w:pPr>
      <w:bookmarkStart w:id="0" w:name="_GoBack"/>
      <w:bookmarkEnd w:id="0"/>
    </w:p>
    <w:p w:rsidR="0009448F" w:rsidRPr="0009448F" w:rsidRDefault="0009448F" w:rsidP="0009448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7DC5"/>
          <w:sz w:val="36"/>
          <w:szCs w:val="24"/>
          <w:lang w:val="it-IT"/>
        </w:rPr>
      </w:pPr>
      <w:r w:rsidRPr="0009448F">
        <w:rPr>
          <w:rFonts w:ascii="Arial" w:eastAsia="Times New Roman" w:hAnsi="Arial" w:cs="Arial"/>
          <w:b/>
          <w:bCs/>
          <w:color w:val="007DC5"/>
          <w:sz w:val="36"/>
          <w:szCs w:val="24"/>
          <w:lang w:val="it-IT"/>
        </w:rPr>
        <w:t xml:space="preserve">Topcon presenta un nuovo e versatile modello </w:t>
      </w:r>
    </w:p>
    <w:p w:rsidR="0009448F" w:rsidRPr="0009448F" w:rsidRDefault="0009448F" w:rsidP="0009448F">
      <w:pPr>
        <w:spacing w:after="0" w:line="240" w:lineRule="auto"/>
        <w:jc w:val="center"/>
        <w:rPr>
          <w:rFonts w:ascii="Arial" w:eastAsia="Times New Roman" w:hAnsi="Arial" w:cs="Arial"/>
          <w:b/>
          <w:color w:val="007DC5"/>
          <w:sz w:val="36"/>
          <w:szCs w:val="24"/>
          <w:lang w:val="it-IT"/>
        </w:rPr>
      </w:pPr>
      <w:r w:rsidRPr="0009448F">
        <w:rPr>
          <w:rFonts w:ascii="Arial" w:eastAsia="Times New Roman" w:hAnsi="Arial" w:cs="Arial"/>
          <w:b/>
          <w:bCs/>
          <w:color w:val="007DC5"/>
          <w:sz w:val="36"/>
          <w:szCs w:val="24"/>
          <w:lang w:val="it-IT"/>
        </w:rPr>
        <w:t xml:space="preserve">della serie di ricevitori integrati </w:t>
      </w:r>
      <w:proofErr w:type="spellStart"/>
      <w:r w:rsidRPr="0009448F">
        <w:rPr>
          <w:rFonts w:ascii="Arial" w:eastAsia="Times New Roman" w:hAnsi="Arial" w:cs="Arial"/>
          <w:b/>
          <w:bCs/>
          <w:color w:val="007DC5"/>
          <w:sz w:val="36"/>
          <w:szCs w:val="24"/>
          <w:lang w:val="it-IT"/>
        </w:rPr>
        <w:t>HiPer</w:t>
      </w:r>
      <w:proofErr w:type="spellEnd"/>
    </w:p>
    <w:p w:rsidR="0009448F" w:rsidRPr="0009448F" w:rsidRDefault="0009448F" w:rsidP="0009448F">
      <w:pPr>
        <w:spacing w:after="0" w:line="240" w:lineRule="auto"/>
        <w:jc w:val="center"/>
        <w:rPr>
          <w:rFonts w:ascii="Arial" w:eastAsia="Times New Roman" w:hAnsi="Arial" w:cs="Arial"/>
          <w:b/>
          <w:color w:val="007AC2"/>
          <w:sz w:val="13"/>
          <w:szCs w:val="24"/>
          <w:lang w:val="it-IT"/>
        </w:rPr>
      </w:pPr>
    </w:p>
    <w:p w:rsidR="0009448F" w:rsidRPr="0009448F" w:rsidRDefault="0009448F" w:rsidP="0009448F">
      <w:pPr>
        <w:spacing w:after="0" w:line="240" w:lineRule="auto"/>
        <w:rPr>
          <w:rFonts w:ascii="Arial" w:eastAsia="Times New Roman" w:hAnsi="Arial" w:cs="Arial"/>
          <w:szCs w:val="20"/>
          <w:lang w:val="it-IT"/>
        </w:rPr>
      </w:pPr>
      <w:r w:rsidRPr="0009448F">
        <w:rPr>
          <w:rFonts w:ascii="Arial" w:eastAsia="Times New Roman" w:hAnsi="Arial" w:cs="Arial"/>
          <w:i/>
          <w:iCs/>
          <w:szCs w:val="20"/>
          <w:lang w:val="it-IT"/>
        </w:rPr>
        <w:t xml:space="preserve">LIVERMORE, </w:t>
      </w:r>
      <w:proofErr w:type="spellStart"/>
      <w:r w:rsidRPr="0009448F">
        <w:rPr>
          <w:rFonts w:ascii="Arial" w:eastAsia="Times New Roman" w:hAnsi="Arial" w:cs="Arial"/>
          <w:i/>
          <w:iCs/>
          <w:szCs w:val="20"/>
          <w:lang w:val="it-IT"/>
        </w:rPr>
        <w:t>Calif</w:t>
      </w:r>
      <w:proofErr w:type="spellEnd"/>
      <w:r w:rsidRPr="0009448F">
        <w:rPr>
          <w:rFonts w:ascii="Arial" w:eastAsia="Times New Roman" w:hAnsi="Arial" w:cs="Arial"/>
          <w:i/>
          <w:iCs/>
          <w:szCs w:val="20"/>
          <w:lang w:val="it-IT"/>
        </w:rPr>
        <w:t xml:space="preserve">., U.S./ CAPELLE A/D IJSSEL, Paesi Bassi – 16 ottobre 2018 – </w:t>
      </w:r>
      <w:r w:rsidRPr="0009448F">
        <w:rPr>
          <w:rFonts w:ascii="Arial" w:eastAsia="Times New Roman" w:hAnsi="Arial" w:cs="Arial"/>
          <w:szCs w:val="20"/>
          <w:lang w:val="it-IT"/>
        </w:rPr>
        <w:t xml:space="preserve">Topcon Positioning Group presenta l’ultimo modello della sua serie di ricevitori integrati </w:t>
      </w:r>
      <w:proofErr w:type="spellStart"/>
      <w:r w:rsidRPr="0009448F">
        <w:rPr>
          <w:rFonts w:ascii="Arial" w:eastAsia="Times New Roman" w:hAnsi="Arial" w:cs="Arial"/>
          <w:szCs w:val="20"/>
          <w:lang w:val="it-IT"/>
        </w:rPr>
        <w:t>HiPer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>: l’</w:t>
      </w:r>
      <w:proofErr w:type="spellStart"/>
      <w:r w:rsidRPr="0009448F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begin"/>
      </w:r>
      <w:r w:rsidRPr="0009448F">
        <w:rPr>
          <w:rFonts w:ascii="Times New Roman" w:eastAsia="Times New Roman" w:hAnsi="Times New Roman" w:cs="Times New Roman"/>
          <w:sz w:val="24"/>
          <w:szCs w:val="24"/>
          <w:lang w:val="it-IT"/>
        </w:rPr>
        <w:instrText>HYPERLINK "https://www.topconpositioning.com/it/gnss-and-network-solutions/integrated-gnss-receivers/hiper-vr"</w:instrText>
      </w:r>
      <w:r w:rsidRPr="0009448F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separate"/>
      </w:r>
      <w:r w:rsidRPr="0009448F">
        <w:rPr>
          <w:rFonts w:ascii="Arial" w:eastAsia="Times New Roman" w:hAnsi="Arial" w:cs="Arial"/>
          <w:color w:val="0000FF"/>
          <w:szCs w:val="20"/>
          <w:u w:val="single"/>
          <w:lang w:val="it-IT"/>
        </w:rPr>
        <w:t>HiPer</w:t>
      </w:r>
      <w:proofErr w:type="spellEnd"/>
      <w:r w:rsidRPr="0009448F">
        <w:rPr>
          <w:rFonts w:ascii="Arial" w:eastAsia="Times New Roman" w:hAnsi="Arial" w:cs="Arial"/>
          <w:color w:val="0000FF"/>
          <w:szCs w:val="20"/>
          <w:u w:val="single"/>
          <w:lang w:val="it-IT"/>
        </w:rPr>
        <w:t xml:space="preserve"> VR</w:t>
      </w:r>
      <w:r w:rsidRPr="0009448F">
        <w:rPr>
          <w:rFonts w:ascii="Arial" w:eastAsia="Times New Roman" w:hAnsi="Arial" w:cs="Arial"/>
          <w:color w:val="0000FF"/>
          <w:szCs w:val="20"/>
          <w:u w:val="single"/>
          <w:lang w:val="it-IT"/>
        </w:rPr>
        <w:fldChar w:fldCharType="end"/>
      </w:r>
      <w:r w:rsidRPr="0009448F">
        <w:rPr>
          <w:rFonts w:ascii="Arial" w:eastAsia="Times New Roman" w:hAnsi="Arial" w:cs="Arial"/>
          <w:szCs w:val="20"/>
          <w:lang w:val="it-IT"/>
        </w:rPr>
        <w:t xml:space="preserve"> è stato ideato per offrire una soluzione versatile con la più avanzata tecnologia GNSS disponibile. </w:t>
      </w:r>
    </w:p>
    <w:p w:rsidR="0009448F" w:rsidRPr="0009448F" w:rsidRDefault="0009448F" w:rsidP="0009448F">
      <w:pPr>
        <w:spacing w:after="0" w:line="240" w:lineRule="auto"/>
        <w:rPr>
          <w:rFonts w:ascii="Arial" w:eastAsia="Times New Roman" w:hAnsi="Arial" w:cs="Arial"/>
          <w:i/>
          <w:szCs w:val="20"/>
          <w:lang w:val="it-IT"/>
        </w:rPr>
      </w:pPr>
    </w:p>
    <w:p w:rsidR="0009448F" w:rsidRPr="0009448F" w:rsidRDefault="0009448F" w:rsidP="0009448F">
      <w:pPr>
        <w:spacing w:after="0" w:line="240" w:lineRule="auto"/>
        <w:rPr>
          <w:rFonts w:ascii="Arial" w:eastAsia="Times New Roman" w:hAnsi="Arial" w:cs="Arial"/>
          <w:szCs w:val="20"/>
          <w:lang w:val="it-IT"/>
        </w:rPr>
      </w:pPr>
      <w:r w:rsidRPr="0009448F">
        <w:rPr>
          <w:rFonts w:ascii="Arial" w:eastAsia="Times New Roman" w:hAnsi="Arial" w:cs="Arial"/>
          <w:szCs w:val="20"/>
          <w:lang w:val="it-IT"/>
        </w:rPr>
        <w:t>“L’</w:t>
      </w:r>
      <w:proofErr w:type="spellStart"/>
      <w:r w:rsidRPr="0009448F">
        <w:rPr>
          <w:rFonts w:ascii="Arial" w:eastAsia="Times New Roman" w:hAnsi="Arial" w:cs="Arial"/>
          <w:szCs w:val="20"/>
          <w:lang w:val="it-IT"/>
        </w:rPr>
        <w:t>HiPer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 xml:space="preserve"> VR racchiude la più potente tecnologia GNSS in un alloggiamento costruito per resistere alle più avverse condizioni ambientali”, ha affermato </w:t>
      </w:r>
      <w:proofErr w:type="spellStart"/>
      <w:r w:rsidRPr="0009448F">
        <w:rPr>
          <w:rFonts w:ascii="Arial" w:eastAsia="Times New Roman" w:hAnsi="Arial" w:cs="Arial"/>
          <w:szCs w:val="20"/>
          <w:lang w:val="it-IT"/>
        </w:rPr>
        <w:t>Alok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 xml:space="preserve"> </w:t>
      </w:r>
      <w:proofErr w:type="spellStart"/>
      <w:r w:rsidRPr="0009448F">
        <w:rPr>
          <w:rFonts w:ascii="Arial" w:eastAsia="Times New Roman" w:hAnsi="Arial" w:cs="Arial"/>
          <w:szCs w:val="20"/>
          <w:lang w:val="it-IT"/>
        </w:rPr>
        <w:t>Srivastava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 xml:space="preserve">, direttore della divisione di gestione dei prodotti GNSS. “L’avanzato chipset GNSS di Topcon con la tecnologia Universal Tracking </w:t>
      </w:r>
      <w:proofErr w:type="spellStart"/>
      <w:r w:rsidRPr="0009448F">
        <w:rPr>
          <w:rFonts w:ascii="Arial" w:eastAsia="Times New Roman" w:hAnsi="Arial" w:cs="Arial"/>
          <w:szCs w:val="20"/>
          <w:lang w:val="it-IT"/>
        </w:rPr>
        <w:t>Channels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>™, consente all’</w:t>
      </w:r>
      <w:proofErr w:type="spellStart"/>
      <w:r w:rsidRPr="0009448F">
        <w:rPr>
          <w:rFonts w:ascii="Arial" w:eastAsia="Times New Roman" w:hAnsi="Arial" w:cs="Arial"/>
          <w:szCs w:val="20"/>
          <w:lang w:val="it-IT"/>
        </w:rPr>
        <w:t>HiPer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 xml:space="preserve"> VR di tracciare automaticamente i segnali provenienti da tutti i sistemi satellitari disponibili, compresi GPS, GLONASS, Galileo, </w:t>
      </w:r>
      <w:proofErr w:type="spellStart"/>
      <w:r w:rsidRPr="0009448F">
        <w:rPr>
          <w:rFonts w:ascii="Arial" w:eastAsia="Times New Roman" w:hAnsi="Arial" w:cs="Arial"/>
          <w:szCs w:val="20"/>
          <w:lang w:val="it-IT"/>
        </w:rPr>
        <w:t>Beidou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 xml:space="preserve">, IRNSS, QZSS, SBAS, oggi e anche in futuro.” </w:t>
      </w:r>
    </w:p>
    <w:p w:rsidR="0009448F" w:rsidRPr="0009448F" w:rsidRDefault="0009448F" w:rsidP="0009448F">
      <w:pPr>
        <w:spacing w:after="0" w:line="240" w:lineRule="auto"/>
        <w:rPr>
          <w:rFonts w:ascii="Arial" w:eastAsia="Times New Roman" w:hAnsi="Arial" w:cs="Arial"/>
          <w:bCs/>
          <w:szCs w:val="20"/>
          <w:lang w:val="it-IT"/>
        </w:rPr>
      </w:pPr>
    </w:p>
    <w:p w:rsidR="0009448F" w:rsidRPr="0009448F" w:rsidRDefault="0009448F" w:rsidP="0009448F">
      <w:pPr>
        <w:spacing w:after="0" w:line="240" w:lineRule="auto"/>
        <w:rPr>
          <w:rFonts w:ascii="Arial" w:eastAsia="Times New Roman" w:hAnsi="Arial" w:cs="Arial"/>
          <w:bCs/>
          <w:szCs w:val="20"/>
          <w:lang w:val="it-IT"/>
        </w:rPr>
      </w:pPr>
      <w:r w:rsidRPr="0009448F">
        <w:rPr>
          <w:rFonts w:ascii="Arial" w:eastAsia="Times New Roman" w:hAnsi="Arial" w:cs="Arial"/>
          <w:szCs w:val="20"/>
          <w:lang w:val="it-IT"/>
        </w:rPr>
        <w:t>L’</w:t>
      </w:r>
      <w:proofErr w:type="spellStart"/>
      <w:r w:rsidRPr="0009448F">
        <w:rPr>
          <w:rFonts w:ascii="Arial" w:eastAsia="Times New Roman" w:hAnsi="Arial" w:cs="Arial"/>
          <w:szCs w:val="20"/>
          <w:lang w:val="it-IT"/>
        </w:rPr>
        <w:t>HiPer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 xml:space="preserve"> VR integra TILT (Topcon </w:t>
      </w:r>
      <w:proofErr w:type="spellStart"/>
      <w:r w:rsidRPr="0009448F">
        <w:rPr>
          <w:rFonts w:ascii="Arial" w:eastAsia="Times New Roman" w:hAnsi="Arial" w:cs="Arial"/>
          <w:szCs w:val="20"/>
          <w:lang w:val="it-IT"/>
        </w:rPr>
        <w:t>Integrated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 xml:space="preserve"> </w:t>
      </w:r>
      <w:proofErr w:type="spellStart"/>
      <w:r w:rsidRPr="0009448F">
        <w:rPr>
          <w:rFonts w:ascii="Arial" w:eastAsia="Times New Roman" w:hAnsi="Arial" w:cs="Arial"/>
          <w:szCs w:val="20"/>
          <w:lang w:val="it-IT"/>
        </w:rPr>
        <w:t>Leveling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 xml:space="preserve"> Technology) studiato per compensare le misurazioni fuori bolla fino a 15 gradi. </w:t>
      </w:r>
    </w:p>
    <w:p w:rsidR="0009448F" w:rsidRPr="0009448F" w:rsidRDefault="0009448F" w:rsidP="0009448F">
      <w:pPr>
        <w:spacing w:after="0" w:line="240" w:lineRule="auto"/>
        <w:rPr>
          <w:rFonts w:ascii="Arial" w:eastAsia="Times New Roman" w:hAnsi="Arial" w:cs="Arial"/>
          <w:bCs/>
          <w:szCs w:val="20"/>
          <w:lang w:val="it-IT"/>
        </w:rPr>
      </w:pPr>
    </w:p>
    <w:p w:rsidR="0009448F" w:rsidRPr="0009448F" w:rsidRDefault="0009448F" w:rsidP="0009448F">
      <w:pPr>
        <w:spacing w:after="0" w:line="240" w:lineRule="auto"/>
        <w:rPr>
          <w:rFonts w:ascii="Arial" w:eastAsia="Times New Roman" w:hAnsi="Arial" w:cs="Arial"/>
          <w:bCs/>
          <w:szCs w:val="20"/>
          <w:lang w:val="it-IT"/>
        </w:rPr>
      </w:pPr>
      <w:r w:rsidRPr="0009448F">
        <w:rPr>
          <w:rFonts w:ascii="Arial" w:eastAsia="Times New Roman" w:hAnsi="Arial" w:cs="Arial"/>
          <w:szCs w:val="20"/>
          <w:lang w:val="it-IT"/>
        </w:rPr>
        <w:t>“TILT incorpora una rivoluzionaria IMU (</w:t>
      </w:r>
      <w:proofErr w:type="spellStart"/>
      <w:r w:rsidRPr="0009448F">
        <w:rPr>
          <w:rFonts w:ascii="Arial" w:eastAsia="Times New Roman" w:hAnsi="Arial" w:cs="Arial"/>
          <w:i/>
          <w:iCs/>
          <w:szCs w:val="20"/>
          <w:lang w:val="it-IT"/>
        </w:rPr>
        <w:t>inertial</w:t>
      </w:r>
      <w:proofErr w:type="spellEnd"/>
      <w:r w:rsidRPr="0009448F">
        <w:rPr>
          <w:rFonts w:ascii="Arial" w:eastAsia="Times New Roman" w:hAnsi="Arial" w:cs="Arial"/>
          <w:i/>
          <w:iCs/>
          <w:szCs w:val="20"/>
          <w:lang w:val="it-IT"/>
        </w:rPr>
        <w:t xml:space="preserve"> </w:t>
      </w:r>
      <w:proofErr w:type="spellStart"/>
      <w:r w:rsidRPr="0009448F">
        <w:rPr>
          <w:rFonts w:ascii="Arial" w:eastAsia="Times New Roman" w:hAnsi="Arial" w:cs="Arial"/>
          <w:i/>
          <w:iCs/>
          <w:szCs w:val="20"/>
          <w:lang w:val="it-IT"/>
        </w:rPr>
        <w:t>measurement</w:t>
      </w:r>
      <w:proofErr w:type="spellEnd"/>
      <w:r w:rsidRPr="0009448F">
        <w:rPr>
          <w:rFonts w:ascii="Arial" w:eastAsia="Times New Roman" w:hAnsi="Arial" w:cs="Arial"/>
          <w:i/>
          <w:iCs/>
          <w:szCs w:val="20"/>
          <w:lang w:val="it-IT"/>
        </w:rPr>
        <w:t xml:space="preserve"> </w:t>
      </w:r>
      <w:proofErr w:type="spellStart"/>
      <w:r w:rsidRPr="0009448F">
        <w:rPr>
          <w:rFonts w:ascii="Arial" w:eastAsia="Times New Roman" w:hAnsi="Arial" w:cs="Arial"/>
          <w:i/>
          <w:iCs/>
          <w:szCs w:val="20"/>
          <w:lang w:val="it-IT"/>
        </w:rPr>
        <w:t>unit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 xml:space="preserve">) a 9 assi e un </w:t>
      </w:r>
      <w:proofErr w:type="spellStart"/>
      <w:r w:rsidRPr="0009448F">
        <w:rPr>
          <w:rFonts w:ascii="Arial" w:eastAsia="Times New Roman" w:hAnsi="Arial" w:cs="Arial"/>
          <w:szCs w:val="20"/>
          <w:lang w:val="it-IT"/>
        </w:rPr>
        <w:t>eCompass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 xml:space="preserve"> (bussola elettronica) ultracompatto a 3 assi che consente di effettuare rapidamente e in modo affidabile, le misure sul campo anche in situazioni in cui è difficile o non è possibile posizionare il ricevitore in maniera perfettamente verticale”, ha affermato </w:t>
      </w:r>
      <w:proofErr w:type="spellStart"/>
      <w:r w:rsidRPr="0009448F">
        <w:rPr>
          <w:rFonts w:ascii="Arial" w:eastAsia="Times New Roman" w:hAnsi="Arial" w:cs="Arial"/>
          <w:szCs w:val="20"/>
          <w:lang w:val="it-IT"/>
        </w:rPr>
        <w:t>Srivastava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>.</w:t>
      </w:r>
    </w:p>
    <w:p w:rsidR="0009448F" w:rsidRPr="0009448F" w:rsidRDefault="0009448F" w:rsidP="0009448F">
      <w:pPr>
        <w:spacing w:after="0" w:line="240" w:lineRule="auto"/>
        <w:rPr>
          <w:rFonts w:ascii="Arial" w:eastAsia="Times New Roman" w:hAnsi="Arial" w:cs="Arial"/>
          <w:bCs/>
          <w:szCs w:val="20"/>
          <w:lang w:val="it-IT"/>
        </w:rPr>
      </w:pPr>
    </w:p>
    <w:p w:rsidR="0009448F" w:rsidRPr="0009448F" w:rsidRDefault="0009448F" w:rsidP="0009448F">
      <w:pPr>
        <w:spacing w:after="0" w:line="240" w:lineRule="auto"/>
        <w:rPr>
          <w:rFonts w:ascii="Arial" w:eastAsia="Times New Roman" w:hAnsi="Arial" w:cs="Arial"/>
          <w:bCs/>
          <w:szCs w:val="20"/>
          <w:lang w:val="it-IT"/>
        </w:rPr>
      </w:pPr>
      <w:r w:rsidRPr="0009448F">
        <w:rPr>
          <w:rFonts w:ascii="Arial" w:eastAsia="Times New Roman" w:hAnsi="Arial" w:cs="Arial"/>
          <w:szCs w:val="20"/>
          <w:lang w:val="it-IT"/>
        </w:rPr>
        <w:t>L’</w:t>
      </w:r>
      <w:proofErr w:type="spellStart"/>
      <w:r w:rsidRPr="0009448F">
        <w:rPr>
          <w:rFonts w:ascii="Arial" w:eastAsia="Times New Roman" w:hAnsi="Arial" w:cs="Arial"/>
          <w:szCs w:val="20"/>
          <w:lang w:val="it-IT"/>
        </w:rPr>
        <w:t>HiPer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 xml:space="preserve"> VR è stato progettato come soluzione completa e versatile per un’ampia varietà di applicazioni, fra cui rilievi GNSS in modalità statica e cinematica con post-elaborazione, network RTK in abbinamento con un palmare dotato di modem cellulare, rover RTK con radio o </w:t>
      </w:r>
      <w:proofErr w:type="spellStart"/>
      <w:r w:rsidRPr="0009448F">
        <w:rPr>
          <w:rFonts w:ascii="Arial" w:eastAsia="Times New Roman" w:hAnsi="Arial" w:cs="Arial"/>
          <w:szCs w:val="20"/>
          <w:lang w:val="it-IT"/>
        </w:rPr>
        <w:t>LongLink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 xml:space="preserve">™ per applicazioni di cantiere, nonché come componente GNSS nei flussi di lavoro </w:t>
      </w:r>
      <w:proofErr w:type="spellStart"/>
      <w:r w:rsidRPr="0009448F">
        <w:rPr>
          <w:rFonts w:ascii="Arial" w:eastAsia="Times New Roman" w:hAnsi="Arial" w:cs="Arial"/>
          <w:szCs w:val="20"/>
          <w:lang w:val="it-IT"/>
        </w:rPr>
        <w:t>Hybrid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 xml:space="preserve"> Positioning e </w:t>
      </w:r>
      <w:proofErr w:type="spellStart"/>
      <w:r w:rsidRPr="0009448F">
        <w:rPr>
          <w:rFonts w:ascii="Arial" w:eastAsia="Times New Roman" w:hAnsi="Arial" w:cs="Arial"/>
          <w:szCs w:val="20"/>
          <w:lang w:val="it-IT"/>
        </w:rPr>
        <w:t>Millimeter</w:t>
      </w:r>
      <w:proofErr w:type="spellEnd"/>
      <w:r w:rsidRPr="0009448F">
        <w:rPr>
          <w:rFonts w:ascii="Arial" w:eastAsia="Times New Roman" w:hAnsi="Arial" w:cs="Arial"/>
          <w:szCs w:val="20"/>
          <w:lang w:val="it-IT"/>
        </w:rPr>
        <w:t xml:space="preserve"> GPS.</w:t>
      </w:r>
    </w:p>
    <w:p w:rsidR="0009448F" w:rsidRPr="0009448F" w:rsidRDefault="0009448F" w:rsidP="0009448F">
      <w:pPr>
        <w:spacing w:after="0" w:line="240" w:lineRule="auto"/>
        <w:rPr>
          <w:rFonts w:ascii="Arial" w:eastAsia="Times New Roman" w:hAnsi="Arial" w:cs="Arial"/>
          <w:bCs/>
          <w:szCs w:val="20"/>
          <w:lang w:val="it-IT"/>
        </w:rPr>
      </w:pPr>
    </w:p>
    <w:p w:rsidR="0009448F" w:rsidRPr="0009448F" w:rsidRDefault="0009448F" w:rsidP="0009448F">
      <w:pPr>
        <w:spacing w:after="0" w:line="240" w:lineRule="auto"/>
        <w:rPr>
          <w:rFonts w:ascii="Arial" w:eastAsia="Times New Roman" w:hAnsi="Arial" w:cs="Arial"/>
          <w:bCs/>
          <w:szCs w:val="20"/>
          <w:lang w:val="it-IT"/>
        </w:rPr>
      </w:pPr>
      <w:r w:rsidRPr="0009448F">
        <w:rPr>
          <w:rFonts w:ascii="Arial" w:eastAsia="Times New Roman" w:hAnsi="Arial" w:cs="Arial"/>
          <w:szCs w:val="20"/>
          <w:lang w:val="it-IT"/>
        </w:rPr>
        <w:t>Il nuovo ricevitore è inoltre dotato della certificazione IP67 per la protezione contro condizioni ambientali avverse in caso di vento e pioggia, nonché di un radio modem UHF da 400 MHz e un radio modem di uso libero da 900 MHz con protocollo FH915.</w:t>
      </w:r>
    </w:p>
    <w:p w:rsidR="0009448F" w:rsidRPr="0009448F" w:rsidRDefault="0009448F" w:rsidP="0009448F">
      <w:pPr>
        <w:spacing w:after="0" w:line="240" w:lineRule="auto"/>
        <w:rPr>
          <w:rFonts w:ascii="Arial" w:eastAsia="Times New Roman" w:hAnsi="Arial" w:cs="Arial"/>
          <w:szCs w:val="20"/>
          <w:lang w:val="it-IT"/>
        </w:rPr>
      </w:pPr>
    </w:p>
    <w:p w:rsidR="0009448F" w:rsidRPr="0009448F" w:rsidRDefault="0009448F" w:rsidP="0009448F">
      <w:pPr>
        <w:spacing w:after="0" w:line="240" w:lineRule="auto"/>
        <w:rPr>
          <w:rFonts w:ascii="Arial" w:eastAsia="Times New Roman" w:hAnsi="Arial" w:cs="Arial"/>
          <w:bCs/>
          <w:szCs w:val="20"/>
          <w:lang w:val="it-IT"/>
        </w:rPr>
      </w:pPr>
      <w:r w:rsidRPr="0009448F">
        <w:rPr>
          <w:rFonts w:ascii="Arial" w:eastAsia="Times New Roman" w:hAnsi="Arial" w:cs="Arial"/>
          <w:szCs w:val="20"/>
          <w:lang w:val="it-IT"/>
        </w:rPr>
        <w:t xml:space="preserve">Per ulteriori informazioni, visitare </w:t>
      </w:r>
      <w:hyperlink r:id="rId7" w:history="1">
        <w:r w:rsidRPr="0009448F">
          <w:rPr>
            <w:rFonts w:ascii="Arial" w:eastAsia="Times New Roman" w:hAnsi="Arial" w:cs="Arial"/>
            <w:color w:val="0000FF"/>
            <w:szCs w:val="20"/>
            <w:u w:val="single"/>
            <w:lang w:val="it-IT"/>
          </w:rPr>
          <w:t>topconpositioning.com</w:t>
        </w:r>
      </w:hyperlink>
      <w:r w:rsidRPr="0009448F">
        <w:rPr>
          <w:rFonts w:ascii="Arial" w:eastAsia="Times New Roman" w:hAnsi="Arial" w:cs="Arial"/>
          <w:szCs w:val="20"/>
          <w:lang w:val="it-IT"/>
        </w:rPr>
        <w:t>.</w:t>
      </w:r>
    </w:p>
    <w:p w:rsidR="00DB79E7" w:rsidRDefault="00DB79E7" w:rsidP="00DB79E7">
      <w:pPr>
        <w:spacing w:after="0" w:line="240" w:lineRule="auto"/>
        <w:rPr>
          <w:rFonts w:ascii="Arial" w:eastAsia="Times New Roman" w:hAnsi="Arial" w:cs="Arial"/>
          <w:b/>
          <w:color w:val="808080"/>
          <w:szCs w:val="18"/>
          <w:lang w:val="it-IT"/>
        </w:rPr>
      </w:pPr>
    </w:p>
    <w:p w:rsidR="0009448F" w:rsidRPr="00AC6C05" w:rsidRDefault="0009448F" w:rsidP="00DB79E7">
      <w:pPr>
        <w:spacing w:after="0" w:line="240" w:lineRule="auto"/>
        <w:rPr>
          <w:rFonts w:ascii="Arial" w:eastAsia="Times New Roman" w:hAnsi="Arial" w:cs="Arial"/>
          <w:b/>
          <w:color w:val="808080"/>
          <w:szCs w:val="18"/>
          <w:lang w:val="it-IT"/>
        </w:rPr>
      </w:pPr>
    </w:p>
    <w:p w:rsidR="00DB79E7" w:rsidRPr="00AC6C05" w:rsidRDefault="007924E0" w:rsidP="00DB79E7">
      <w:pPr>
        <w:spacing w:after="0" w:line="240" w:lineRule="auto"/>
        <w:rPr>
          <w:rFonts w:ascii="Arial" w:eastAsia="Times New Roman" w:hAnsi="Arial" w:cs="Arial"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t>Chi è</w:t>
      </w:r>
      <w:r w:rsidR="00DB79E7"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t xml:space="preserve"> Topcon Positioning </w:t>
      </w:r>
      <w:r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t>Group</w:t>
      </w:r>
      <w:r w:rsidR="00DB79E7">
        <w:rPr>
          <w:rFonts w:ascii="Arial" w:eastAsia="Times New Roman" w:hAnsi="Arial" w:cs="Arial"/>
          <w:color w:val="808080"/>
          <w:sz w:val="16"/>
          <w:szCs w:val="16"/>
          <w:lang w:val="it"/>
        </w:rPr>
        <w:br/>
        <w:t>Il gruppo Topcon Positioning ha il suo quartier generale a Livermore, in California, USA (</w:t>
      </w:r>
      <w:hyperlink r:id="rId8" w:history="1">
        <w:r w:rsidR="00DB79E7">
          <w:rPr>
            <w:rFonts w:ascii="Arial" w:eastAsia="Times New Roman" w:hAnsi="Arial" w:cs="Arial"/>
            <w:color w:val="0000FF"/>
            <w:sz w:val="16"/>
            <w:szCs w:val="16"/>
            <w:u w:val="single"/>
            <w:lang w:val="it"/>
          </w:rPr>
          <w:t>topconpositioning.com</w:t>
        </w:r>
      </w:hyperlink>
      <w:r w:rsidR="00DB79E7">
        <w:rPr>
          <w:rFonts w:ascii="Arial" w:eastAsia="Times New Roman" w:hAnsi="Arial" w:cs="Arial"/>
          <w:color w:val="808080"/>
          <w:sz w:val="16"/>
          <w:szCs w:val="16"/>
          <w:lang w:val="it"/>
        </w:rPr>
        <w:t xml:space="preserve">). La sua sede centrale europea si trova a Capelle a/d IJssel, Paesi Bassi. Il gruppo Topcon Positioning progetta, produce e commercializza soluzioni di precisione per la misurazione e i flussi di lavoro desinati ai mercati globali dell’edilizia, dei sistemi geospaziali e </w:t>
      </w:r>
      <w:r w:rsidR="00DB79E7">
        <w:rPr>
          <w:rFonts w:ascii="Arial" w:eastAsia="Times New Roman" w:hAnsi="Arial" w:cs="Arial"/>
          <w:color w:val="808080"/>
          <w:sz w:val="16"/>
          <w:szCs w:val="16"/>
          <w:lang w:val="it"/>
        </w:rPr>
        <w:lastRenderedPageBreak/>
        <w:t>dell’agricoltura. Fra i suoi marchi, si annoverano: Topcon, Sokkia, Tierra, Digi-Star, RDS Technology e NORAC. Topcon Corporation (</w:t>
      </w:r>
      <w:hyperlink r:id="rId9" w:history="1">
        <w:r w:rsidR="00DB79E7">
          <w:rPr>
            <w:rFonts w:ascii="Arial" w:eastAsia="Times New Roman" w:hAnsi="Arial" w:cs="Arial"/>
            <w:color w:val="0000FF"/>
            <w:sz w:val="16"/>
            <w:szCs w:val="16"/>
            <w:u w:val="single"/>
            <w:lang w:val="it"/>
          </w:rPr>
          <w:t>topcon.com</w:t>
        </w:r>
      </w:hyperlink>
      <w:r w:rsidR="00DB79E7">
        <w:rPr>
          <w:rFonts w:ascii="Arial" w:eastAsia="Times New Roman" w:hAnsi="Arial" w:cs="Arial"/>
          <w:color w:val="808080"/>
          <w:sz w:val="16"/>
          <w:szCs w:val="16"/>
          <w:lang w:val="it"/>
        </w:rPr>
        <w:t>), fondata nel 1932, è quotata alla Borsa di Tokyo (7732). </w:t>
      </w:r>
    </w:p>
    <w:p w:rsidR="00DB79E7" w:rsidRPr="00AC6C05" w:rsidRDefault="00DB79E7" w:rsidP="00DB79E7">
      <w:pPr>
        <w:spacing w:after="0" w:line="240" w:lineRule="auto"/>
        <w:jc w:val="center"/>
        <w:rPr>
          <w:rFonts w:ascii="Arial" w:eastAsia="Times New Roman" w:hAnsi="Arial" w:cs="Arial"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color w:val="808080"/>
          <w:sz w:val="16"/>
          <w:szCs w:val="16"/>
          <w:lang w:val="it"/>
        </w:rPr>
        <w:t># # #</w:t>
      </w:r>
    </w:p>
    <w:p w:rsidR="00DB79E7" w:rsidRPr="00AC6C05" w:rsidRDefault="00DB79E7" w:rsidP="00DB79E7">
      <w:pPr>
        <w:spacing w:after="0" w:line="240" w:lineRule="auto"/>
        <w:outlineLvl w:val="0"/>
        <w:rPr>
          <w:rFonts w:ascii="Arial" w:eastAsia="Times New Roman" w:hAnsi="Arial" w:cs="Arial"/>
          <w:b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b/>
          <w:bCs/>
          <w:color w:val="808080"/>
          <w:sz w:val="16"/>
          <w:szCs w:val="16"/>
          <w:lang w:val="it"/>
        </w:rPr>
        <w:t xml:space="preserve">Contatti stampa: </w:t>
      </w:r>
    </w:p>
    <w:p w:rsidR="00DB79E7" w:rsidRPr="00AC6C05" w:rsidRDefault="00DB79E7" w:rsidP="00DB79E7">
      <w:pPr>
        <w:spacing w:after="0" w:line="240" w:lineRule="auto"/>
        <w:outlineLvl w:val="0"/>
        <w:rPr>
          <w:rFonts w:ascii="Arial" w:eastAsia="Times New Roman" w:hAnsi="Arial" w:cs="Arial"/>
          <w:bCs/>
          <w:color w:val="808080"/>
          <w:sz w:val="16"/>
          <w:szCs w:val="16"/>
          <w:lang w:val="it-IT"/>
        </w:rPr>
      </w:pPr>
      <w:r>
        <w:rPr>
          <w:rFonts w:ascii="Arial" w:eastAsia="Times New Roman" w:hAnsi="Arial" w:cs="Arial"/>
          <w:color w:val="808080"/>
          <w:sz w:val="16"/>
          <w:szCs w:val="16"/>
          <w:lang w:val="it"/>
        </w:rPr>
        <w:t>Topcon Positioning Group</w:t>
      </w:r>
    </w:p>
    <w:p w:rsidR="00DB79E7" w:rsidRPr="00AC6C05" w:rsidRDefault="00ED6F4A" w:rsidP="00DB79E7">
      <w:pPr>
        <w:spacing w:after="0" w:line="240" w:lineRule="auto"/>
        <w:outlineLvl w:val="0"/>
        <w:rPr>
          <w:rFonts w:ascii="Arial" w:eastAsia="Times New Roman" w:hAnsi="Arial" w:cs="Arial"/>
          <w:bCs/>
          <w:color w:val="808080"/>
          <w:sz w:val="16"/>
          <w:szCs w:val="16"/>
          <w:lang w:val="it-IT"/>
        </w:rPr>
      </w:pPr>
      <w:hyperlink r:id="rId10" w:history="1">
        <w:r w:rsidR="00DB79E7">
          <w:rPr>
            <w:rFonts w:ascii="Arial" w:eastAsia="Times New Roman" w:hAnsi="Arial" w:cs="Arial"/>
            <w:color w:val="808080"/>
            <w:sz w:val="16"/>
            <w:szCs w:val="16"/>
            <w:u w:val="single"/>
            <w:lang w:val="it"/>
          </w:rPr>
          <w:t>CorpComm@topcon.com</w:t>
        </w:r>
      </w:hyperlink>
    </w:p>
    <w:p w:rsidR="00DB79E7" w:rsidRPr="00DB79E7" w:rsidRDefault="00DB79E7" w:rsidP="00DB79E7">
      <w:pPr>
        <w:spacing w:after="0" w:line="240" w:lineRule="auto"/>
        <w:outlineLvl w:val="0"/>
        <w:rPr>
          <w:rFonts w:ascii="Arial" w:eastAsia="Times New Roman" w:hAnsi="Arial" w:cs="Arial"/>
          <w:bCs/>
          <w:color w:val="808080"/>
          <w:sz w:val="16"/>
          <w:szCs w:val="16"/>
        </w:rPr>
      </w:pPr>
      <w:r>
        <w:rPr>
          <w:rFonts w:ascii="Arial" w:eastAsia="Times New Roman" w:hAnsi="Arial" w:cs="Arial"/>
          <w:color w:val="808080"/>
          <w:sz w:val="16"/>
          <w:szCs w:val="16"/>
          <w:lang w:val="it"/>
        </w:rPr>
        <w:t xml:space="preserve">Staci Fitzgerald, +1 925-245-8610 </w:t>
      </w:r>
    </w:p>
    <w:p w:rsidR="00B44A0C" w:rsidRDefault="00B44A0C"/>
    <w:sectPr w:rsidR="00B44A0C" w:rsidSect="009C77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6F4A" w:rsidRDefault="00ED6F4A">
      <w:pPr>
        <w:spacing w:after="0" w:line="240" w:lineRule="auto"/>
      </w:pPr>
      <w:r>
        <w:separator/>
      </w:r>
    </w:p>
  </w:endnote>
  <w:endnote w:type="continuationSeparator" w:id="0">
    <w:p w:rsidR="00ED6F4A" w:rsidRDefault="00ED6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6F4A" w:rsidRDefault="00ED6F4A">
      <w:pPr>
        <w:spacing w:after="0" w:line="240" w:lineRule="auto"/>
      </w:pPr>
      <w:r>
        <w:separator/>
      </w:r>
    </w:p>
  </w:footnote>
  <w:footnote w:type="continuationSeparator" w:id="0">
    <w:p w:rsidR="00ED6F4A" w:rsidRDefault="00ED6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3C1B" w:rsidRDefault="001D3C1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0D37" w:rsidRPr="00EB1000" w:rsidRDefault="00DB79E7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eastAsia="de-DE"/>
      </w:rPr>
      <w:drawing>
        <wp:anchor distT="0" distB="0" distL="114300" distR="114300" simplePos="0" relativeHeight="251659264" behindDoc="1" locked="0" layoutInCell="1" allowOverlap="1" wp14:anchorId="7BFCBB6D" wp14:editId="29AF421B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0D37" w:rsidRPr="00EB1000" w:rsidRDefault="00ED6F4A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:rsidR="00870D37" w:rsidRPr="001A276A" w:rsidRDefault="00DB79E7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  <w:lang w:val="it"/>
      </w:rPr>
      <w:t>COMUNICATO STAMPA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4A4B"/>
    <w:rsid w:val="00065AB3"/>
    <w:rsid w:val="0009448F"/>
    <w:rsid w:val="00126B47"/>
    <w:rsid w:val="00143102"/>
    <w:rsid w:val="001D3C1B"/>
    <w:rsid w:val="002D4EB9"/>
    <w:rsid w:val="00307A97"/>
    <w:rsid w:val="003535FC"/>
    <w:rsid w:val="00353E3E"/>
    <w:rsid w:val="005E6324"/>
    <w:rsid w:val="00621C66"/>
    <w:rsid w:val="00623B9D"/>
    <w:rsid w:val="006C11AE"/>
    <w:rsid w:val="006D129E"/>
    <w:rsid w:val="007850CA"/>
    <w:rsid w:val="007924E0"/>
    <w:rsid w:val="007B30F2"/>
    <w:rsid w:val="00874A4B"/>
    <w:rsid w:val="00A24AF3"/>
    <w:rsid w:val="00A55560"/>
    <w:rsid w:val="00AC6C05"/>
    <w:rsid w:val="00B44A0C"/>
    <w:rsid w:val="00CA28B8"/>
    <w:rsid w:val="00DB79E7"/>
    <w:rsid w:val="00DD392B"/>
    <w:rsid w:val="00E34708"/>
    <w:rsid w:val="00ED6F4A"/>
    <w:rsid w:val="00F04E08"/>
    <w:rsid w:val="00F0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3452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7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79E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7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79E7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1D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3C1B"/>
  </w:style>
  <w:style w:type="character" w:styleId="Collegamentoipertestuale">
    <w:name w:val="Hyperlink"/>
    <w:basedOn w:val="Carpredefinitoparagrafo"/>
    <w:uiPriority w:val="99"/>
    <w:unhideWhenUsed/>
    <w:rsid w:val="00065AB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65AB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topconpositioning.com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mailto:CorpComm@topcon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global.topcon.com/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2018-11-15T11:08:00Z</dcterms:created>
  <dcterms:modified xsi:type="dcterms:W3CDTF">2018-11-15T11:08:00Z</dcterms:modified>
</cp:coreProperties>
</file>